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 xml:space="preserve">Ordine della Professione Ostetrica di </w:t>
      </w:r>
    </w:p>
    <w:p>
      <w:pPr>
        <w:pStyle w:val="Normal"/>
        <w:spacing w:before="0" w:after="0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Modena</w:t>
      </w:r>
    </w:p>
    <w:p>
      <w:pPr>
        <w:pStyle w:val="Normal"/>
        <w:spacing w:before="0" w:after="0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spacing w:before="0" w:after="0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MAPPATURA DELLE AREE DI RISCHIO</w:t>
      </w:r>
    </w:p>
    <w:p>
      <w:pPr>
        <w:pStyle w:val="Normal"/>
        <w:spacing w:before="0" w:after="0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PTPCT 2022-2024</w:t>
      </w:r>
    </w:p>
    <w:p>
      <w:pPr>
        <w:pStyle w:val="Normal"/>
        <w:spacing w:before="0" w:after="0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spacing w:before="0" w:after="0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tbl>
      <w:tblPr>
        <w:tblStyle w:val="Grigliatabella"/>
        <w:tblW w:w="10915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2268"/>
        <w:gridCol w:w="3827"/>
        <w:gridCol w:w="1702"/>
        <w:gridCol w:w="2693"/>
      </w:tblGrid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Processo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Declaratoria dei rischi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Livello di rischio (alto, medio, basso)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As is  analyisis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Misure di prevenzione della corruzione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</w:tr>
      <w:tr>
        <w:trPr/>
        <w:tc>
          <w:tcPr>
            <w:tcW w:w="425" w:type="dxa"/>
            <w:tcBorders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2268" w:type="dxa"/>
            <w:tcBorders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AREA  A.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ACQUISIZIONE     E             PROGRESSIONE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  <w:tc>
          <w:tcPr>
            <w:tcW w:w="2693" w:type="dxa"/>
            <w:tcBorders>
              <w:lef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DEL   PERSONALE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Reclutamento 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Previsione requisiti di accesso ai concorsi indetti dall’Ente personalizzati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Abuso nei processi di stabilizzazione finalizzato al reclutamento di candidati particolari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Basso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 sono previste per l’anno 2022 assunzioni di personale.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Massima aderenza alla normativa e controllo incrociato delle varie fasi procedurali in caso di concorsi per il reclutamento del personale.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2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Conferimento di incarichi di collaborazione e consulenza 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Conferimento di consulenti incompatibili/in conflitto di interessi con il ruolo assegnato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-Appropriate valutazioni preliminari attraverso analisi dei </w:t>
            </w:r>
            <w:r>
              <w:rPr>
                <w:rFonts w:ascii="Garamond" w:hAnsi="Garamond"/>
                <w:i/>
              </w:rPr>
              <w:t>curricula</w:t>
            </w:r>
            <w:r>
              <w:rPr>
                <w:rFonts w:ascii="Garamond" w:hAnsi="Garamond"/>
              </w:rPr>
              <w:t xml:space="preserve"> dei consulenti candidati e sottoscrizioni di autocertificazioni di assenza di conflitti di interessi e situazioni di incompatibilità.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/>
              <w:t>-</w:t>
            </w:r>
            <w:r>
              <w:rPr>
                <w:rFonts w:ascii="Garamond" w:hAnsi="Garamond"/>
              </w:rPr>
              <w:t>Intensificazione dei controlli a campione sulle dichiarazioni sostitutive di certificazione e di atto notorio rese dagli utenti.</w:t>
            </w:r>
          </w:p>
        </w:tc>
      </w:tr>
      <w:tr>
        <w:trPr/>
        <w:tc>
          <w:tcPr>
            <w:tcW w:w="425" w:type="dxa"/>
            <w:tcBorders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2268" w:type="dxa"/>
            <w:tcBorders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AREA  B.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AFFIDAMENTO DI 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LAVORI, SERVIZI    </w:t>
            </w:r>
          </w:p>
        </w:tc>
        <w:tc>
          <w:tcPr>
            <w:tcW w:w="2693" w:type="dxa"/>
            <w:tcBorders>
              <w:lef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FORNITURE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1.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Definizione dell’oggetto dell’affidamento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- Violazione degli obblighi di pubblicità di cui al Decreto Legislativo 33/2013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Basso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Applicazione delle norme in materia di Trasparenza di cui al Decreto Legislativo 33/2013.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2.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Individuazione dello strumento/istituto per l’affidamento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Discrezionalità interpretativa delle regole di affidamento con improprio utilizzo dei modelli procedurali al fine di agevolare particolari soggetti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- Uso distorto dell’offerta economicamente più vantaggiosa finalizzato a fini impropri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Formalizzazione delle principali fasi procedurali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3.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Affidamenti diretti – Selezione del contraente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Abuso dell’affidamento diretto al di fuori dei casi previsti dalla legge al fine di favorire un operatore economico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Alto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Rispetto delle disposizioni del Codice appalti e successive modifiche.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Indicazione nelle delibere a contrarre di adeguata motivazione relativa alla scelta degli operatori economici individuati.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6.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Stipula dei contratti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Mancato rispetto delle norme in materia contrattuale per favorire l’operatore economico individuato.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Basso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Sottoposizione di tutti i contratti al Consiglio direttivo e ai consulenti legali.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7.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Esecuzione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Abuso della discrezionalità nelle attività di controllo e di verifica della esecuzione dei contratti.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Basso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Valutazione congiunta degli organi direttivi sull’esecuzione dei contratti.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8.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Rendicontazione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-Mancato rispetto degli importi contrattuali.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-Abusi/irregolarità nella vigilanza/contabilizzazione lavori per favorire l’operatore economico esecutore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Basso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Adeguata valutazione da parte degli organi di revisione.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>
              <w:rPr/>
              <w:t xml:space="preserve"> </w:t>
            </w:r>
            <w:r>
              <w:rPr>
                <w:rFonts w:ascii="Garamond" w:hAnsi="Garamond"/>
              </w:rPr>
              <w:t>Valorizzazione del controllo successivo ai fini della verifica della corretta applicazione della normativa.</w:t>
            </w:r>
          </w:p>
        </w:tc>
      </w:tr>
      <w:tr>
        <w:trPr/>
        <w:tc>
          <w:tcPr>
            <w:tcW w:w="425" w:type="dxa"/>
            <w:tcBorders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</w:tc>
        <w:tc>
          <w:tcPr>
            <w:tcW w:w="2268" w:type="dxa"/>
            <w:tcBorders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AREA  C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ATTIVITA’ DELLE CARICHE   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DIRETTIVE</w:t>
            </w:r>
          </w:p>
        </w:tc>
        <w:tc>
          <w:tcPr>
            <w:tcW w:w="2693" w:type="dxa"/>
            <w:tcBorders>
              <w:lef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1.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Procedure elettorali riferite agli organi e alle cariche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Attribuzione di cariche a soggetti non aventi titolo.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Basso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Rispetto e applicazione del decreto attuativo della L. 3/2018 in materia elettorale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2.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Compensi e rimborsi per gli organi istituzionali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Riconoscimento indebito di indennità, agevolazioni e benefici economici per favorire soggetti che non ne hanno diritto.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Rispetto e applicazione del regolamento dell’Ente sul funzionamento degli uffici direttivi in materia di riconoscimento dei rimborsi.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3.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Individuazione dei componenti dell’Ordine all’interno delle commissioni di tesi di laurea universitarie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Individuazione di soggetti incompatibili/in conflitto di interessi con il ruolo assegnato.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Mancato rispetto del principio di rotazione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Rispetto e applicazione del regolamento dell’Ente sul funzionamento degli uffici direttivi in materia di individuazione dei componenti dell’Ordine nelle commissioni di tesi di laurea universitarie.</w:t>
            </w:r>
          </w:p>
        </w:tc>
      </w:tr>
      <w:tr>
        <w:trPr/>
        <w:tc>
          <w:tcPr>
            <w:tcW w:w="425" w:type="dxa"/>
            <w:tcBorders>
              <w:right w:val="nil"/>
            </w:tcBorders>
            <w:shd w:color="auto" w:fill="B8CCE4" w:themeFill="accent1" w:themeFillTint="66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D</w:t>
            </w:r>
          </w:p>
        </w:tc>
        <w:tc>
          <w:tcPr>
            <w:tcW w:w="2268" w:type="dxa"/>
            <w:tcBorders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AREA  D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PROVVEDIMENTI   CON  o SENZA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EFFETTI ECONOMICI     </w:t>
            </w:r>
          </w:p>
        </w:tc>
        <w:tc>
          <w:tcPr>
            <w:tcW w:w="2693" w:type="dxa"/>
            <w:tcBorders>
              <w:left w:val="nil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DIRETTI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1.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Iscrizione albo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Rilascio/diniego/ revoca dell’iscrizione a discrezione dell’organo direttivo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Basso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Applicazione della L. 3/2018 in materia di iscrizione/cancellazione dall’Albo professionale. 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2.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Concessione dei patrocinii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Abuso nel rilascio di concessioni di patrocinii al fine di agevolare determinati soggetti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Applicazione del Regolamento sul funzionamento degli uffici direttivi in materia di concessione dei patrocinii.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3.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Esercizio del potere disciplinare nei confronti degli iscritti all’Ordine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Mancata attivazione del Procedimento/ applicazione sanzione inadeguata/ scadenza dei termini per favorire determinati soggetti.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Verifica periodica sulle contestazioni disciplinari e sugli esiti dei procedimenti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- Percorsi di formazione specifica;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4.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Procedure per la cancellazione dall’Albo in caso di mancato pagamento della quota annuale prevista a carico degli iscritti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Mancata attivazione del Procedimento/ applicazione sanzione inadeguata/ scadenza dei termini per favorire determinati soggetti.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Medio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Verifica periodica sulle contestazioni disciplinari e sugli esiti dei procedimenti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- Percorsi di formazione specifica;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5.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Procedure per la cancellazione dall’Albo in caso di mancata sottoposizione al vaccino per la prevenzione del Covid 19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Mancata attivazione del Procedimento/ applicazione sanzione inadeguata/ scadenza dei termini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Medio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Verifica periodica sulle contestazioni disciplinari e sugli esiti dei procedimenti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Percorsi di formazione specifica;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- Potenziamento dell’ azione di vigilanza e di controllo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6.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Controlli e verifiche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Disomogeneità delle valutazioni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Disomogeneità dei controlli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Basso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Qualificazione delle procedure standard per i controlli.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7.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Concessione di borse di studio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-Disparità di trattamento fra i richiedenti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/>
              <w:t xml:space="preserve">- </w:t>
            </w:r>
            <w:r>
              <w:rPr>
                <w:rFonts w:ascii="Garamond" w:hAnsi="Garamond"/>
              </w:rPr>
              <w:t>Riconoscimento indebito di indennità, agevolazioni e benefici economici per favorire soggetti che non ne hanno diritto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Basso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Adozione di volta in volta di requisiti e criteri per la concessione di borse di studio</w:t>
            </w:r>
          </w:p>
        </w:tc>
      </w:tr>
      <w:tr>
        <w:trPr/>
        <w:tc>
          <w:tcPr>
            <w:tcW w:w="425" w:type="dxa"/>
            <w:tcBorders/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E</w:t>
            </w:r>
          </w:p>
        </w:tc>
        <w:tc>
          <w:tcPr>
            <w:tcW w:w="2268" w:type="dxa"/>
            <w:tcBorders>
              <w:right w:val="nil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AREA  E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AREE DI RISCHIO PNA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  <w:tc>
          <w:tcPr>
            <w:tcW w:w="2693" w:type="dxa"/>
            <w:tcBorders>
              <w:left w:val="nil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1.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Formazione Continua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Abuso nell’adozione di provvedimenti aventi ad oggetto condizioni di accesso / partecipazione alla formazione (e/o individuazione) al fine di agevolare particolari soggetti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</w:t>
            </w:r>
            <w:r>
              <w:rPr>
                <w:rFonts w:ascii="Garamond" w:hAnsi="Garamond"/>
              </w:rPr>
              <w:t>Medio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Applicazione delle norme in materia di Formazione continua.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2.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Indicazione di professionisti per incarichi specifici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Affidamento degli incarichi ad uno o più soggetti ricorrenti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Scarsa trasparenza dell’affidamento dell’incarico / consulenza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/>
              <w:t xml:space="preserve">- </w:t>
            </w:r>
            <w:r>
              <w:rPr>
                <w:rFonts w:ascii="Garamond" w:hAnsi="Garamond"/>
              </w:rPr>
              <w:t>Disomogeneità di valutazione nella individuazione del soggetto destinatario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Alto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-Rotazione dei professionisti iscritti all’Albo secondo criteri di competenza.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>
              <w:rPr/>
              <w:t xml:space="preserve"> </w:t>
            </w:r>
            <w:r>
              <w:rPr>
                <w:rFonts w:ascii="Garamond" w:hAnsi="Garamond"/>
              </w:rPr>
              <w:t>Pubblicazione sul sito istituzionale dell’Ente degli avvisi di selezione per l’affidamento dell’incarico / consulenza e dell’elenco degli incarichi / consulenze conferiti.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/>
              <w:t xml:space="preserve">- </w:t>
            </w:r>
            <w:r>
              <w:rPr>
                <w:rFonts w:ascii="Garamond" w:hAnsi="Garamond"/>
              </w:rPr>
              <w:t>Formalizzazione, ove possibile di criteri di rotazione nell’assegnazione delle consulenze e degli incarichi professionali nonché individuazione di criteri oggettivi di valutazione da considerare.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>- Indicazione di adeguata e stringente motivazione nella delibera di conferimento dell’incarico, in deroga del principio di rotazione.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Garamond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9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b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4e4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240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c36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LibreOffice/6.3.5.2$Windows_X86_64 LibreOffice_project/dd0751754f11728f69b42ee2af66670068624673</Application>
  <Pages>8</Pages>
  <Words>939</Words>
  <Characters>6168</Characters>
  <CharactersWithSpaces>7027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2022-04-09T08:27:00Z</dcterms:created>
  <dc:creator>Marta</dc:creator>
  <dc:description/>
  <dc:language>it-IT</dc:language>
  <cp:lastModifiedBy>Marta</cp:lastModifiedBy>
  <dcterms:modified xsi:type="dcterms:W3CDTF">2022-04-09T08:27:00Z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